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135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Посох Валерии Валерьевне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Посох Валерии Валерьевне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Посох Валерии Валерьевн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Ханты-Мансийскому </w:t>
      </w:r>
      <w:r>
        <w:rPr>
          <w:rFonts w:ascii="Times New Roman" w:eastAsia="Times New Roman" w:hAnsi="Times New Roman" w:cs="Times New Roman"/>
          <w:sz w:val="28"/>
          <w:szCs w:val="28"/>
        </w:rPr>
        <w:t>автоном.окр</w:t>
      </w:r>
      <w:r>
        <w:rPr>
          <w:rFonts w:ascii="Times New Roman" w:eastAsia="Times New Roman" w:hAnsi="Times New Roman" w:cs="Times New Roman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sz w:val="28"/>
          <w:szCs w:val="28"/>
        </w:rPr>
        <w:t>Югре в гор. Нефтеюганске, СНИЛС: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енсионного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Ханты-Мансийскому автономному округу – Югре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неосновательного обогащения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суммы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 ходатайство Посох Валерии Валерьевны о рассрочке исполнения решения и предоставить Посох Валерии Валерьевн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рассрочку исполнения настоящего решения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со дня его вступления в законную силу путем уплаты денежны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неосновательного обогащения </w:t>
      </w:r>
      <w:r>
        <w:rPr>
          <w:rFonts w:ascii="Times New Roman" w:eastAsia="Times New Roman" w:hAnsi="Times New Roman" w:cs="Times New Roman"/>
          <w:sz w:val="28"/>
          <w:szCs w:val="28"/>
        </w:rPr>
        <w:t>равными частями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ежемесячно по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Посох Валерии Валерьевны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27">
    <w:name w:val="cat-UserDefined grp-23 rplc-27"/>
    <w:basedOn w:val="DefaultParagraphFont"/>
  </w:style>
  <w:style w:type="character" w:customStyle="1" w:styleId="cat-UserDefinedgrp-24rplc-30">
    <w:name w:val="cat-UserDefined grp-2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